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E09" w:rsidRDefault="00DC6E09" w:rsidP="00DC6E09">
      <w:pPr>
        <w:jc w:val="center"/>
        <w:rPr>
          <w:rFonts w:ascii="Verdana" w:hAnsi="Verdana"/>
          <w:sz w:val="18"/>
          <w:szCs w:val="18"/>
        </w:rPr>
      </w:pPr>
    </w:p>
    <w:p w:rsidR="00DC6E09" w:rsidRDefault="00DC6E09" w:rsidP="00DC6E09">
      <w:pPr>
        <w:jc w:val="center"/>
        <w:rPr>
          <w:rFonts w:ascii="Verdana" w:hAnsi="Verdana"/>
          <w:sz w:val="18"/>
          <w:szCs w:val="18"/>
        </w:rPr>
      </w:pPr>
    </w:p>
    <w:p w:rsidR="00DC6E09" w:rsidRPr="00C500F6" w:rsidRDefault="00DC6E09" w:rsidP="00DC6E09">
      <w:pPr>
        <w:jc w:val="center"/>
        <w:rPr>
          <w:rFonts w:ascii="Verdana" w:hAnsi="Verdana"/>
          <w:sz w:val="40"/>
          <w:szCs w:val="18"/>
        </w:rPr>
      </w:pPr>
      <w:bookmarkStart w:id="0" w:name="_GoBack"/>
      <w:bookmarkEnd w:id="0"/>
    </w:p>
    <w:p w:rsidR="00DC6E09" w:rsidRDefault="00DC6E09" w:rsidP="00DC6E09">
      <w:pPr>
        <w:jc w:val="center"/>
        <w:rPr>
          <w:rFonts w:ascii="Palatino Linotype" w:hAnsi="Palatino Linotype"/>
          <w:sz w:val="40"/>
          <w:szCs w:val="18"/>
        </w:rPr>
      </w:pPr>
      <w:r>
        <w:rPr>
          <w:rFonts w:ascii="Palatino Linotype" w:hAnsi="Palatino Linotype"/>
          <w:sz w:val="40"/>
          <w:szCs w:val="18"/>
        </w:rPr>
        <w:t>St Michael’s Church,</w:t>
      </w:r>
    </w:p>
    <w:p w:rsidR="00DC6E09" w:rsidRDefault="00DC6E09" w:rsidP="00DC6E09">
      <w:pPr>
        <w:jc w:val="center"/>
        <w:rPr>
          <w:rFonts w:ascii="Palatino Linotype" w:hAnsi="Palatino Linotype"/>
          <w:sz w:val="40"/>
          <w:szCs w:val="18"/>
        </w:rPr>
      </w:pPr>
      <w:r>
        <w:rPr>
          <w:rFonts w:ascii="Palatino Linotype" w:hAnsi="Palatino Linotype"/>
          <w:sz w:val="40"/>
          <w:szCs w:val="18"/>
        </w:rPr>
        <w:t>Woolmer Green</w:t>
      </w: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r>
        <w:rPr>
          <w:rFonts w:ascii="Palatino Linotype" w:hAnsi="Palatino Linotype"/>
          <w:noProof/>
          <w:sz w:val="56"/>
        </w:rPr>
        <w:drawing>
          <wp:anchor distT="0" distB="0" distL="114300" distR="114300" simplePos="0" relativeHeight="251659264" behindDoc="0" locked="0" layoutInCell="1" allowOverlap="1" wp14:anchorId="0C5834C1" wp14:editId="2EEC834A">
            <wp:simplePos x="0" y="0"/>
            <wp:positionH relativeFrom="margin">
              <wp:align>center</wp:align>
            </wp:positionH>
            <wp:positionV relativeFrom="paragraph">
              <wp:posOffset>6659</wp:posOffset>
            </wp:positionV>
            <wp:extent cx="3484605" cy="348460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ichael's stencil.jpg"/>
                    <pic:cNvPicPr/>
                  </pic:nvPicPr>
                  <pic:blipFill>
                    <a:blip r:embed="rId5">
                      <a:extLst>
                        <a:ext uri="{28A0092B-C50C-407E-A947-70E740481C1C}">
                          <a14:useLocalDpi xmlns:a14="http://schemas.microsoft.com/office/drawing/2010/main" val="0"/>
                        </a:ext>
                      </a:extLst>
                    </a:blip>
                    <a:stretch>
                      <a:fillRect/>
                    </a:stretch>
                  </pic:blipFill>
                  <pic:spPr>
                    <a:xfrm>
                      <a:off x="0" y="0"/>
                      <a:ext cx="3484605" cy="3484605"/>
                    </a:xfrm>
                    <a:prstGeom prst="rect">
                      <a:avLst/>
                    </a:prstGeom>
                  </pic:spPr>
                </pic:pic>
              </a:graphicData>
            </a:graphic>
            <wp14:sizeRelH relativeFrom="page">
              <wp14:pctWidth>0</wp14:pctWidth>
            </wp14:sizeRelH>
            <wp14:sizeRelV relativeFrom="page">
              <wp14:pctHeight>0</wp14:pctHeight>
            </wp14:sizeRelV>
          </wp:anchor>
        </w:drawing>
      </w: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p>
    <w:p w:rsidR="00DC6E09" w:rsidRDefault="00DC6E09" w:rsidP="00DC6E09">
      <w:pPr>
        <w:jc w:val="center"/>
        <w:rPr>
          <w:rFonts w:ascii="Palatino Linotype" w:hAnsi="Palatino Linotype"/>
          <w:sz w:val="40"/>
          <w:szCs w:val="18"/>
        </w:rPr>
      </w:pPr>
      <w:r>
        <w:rPr>
          <w:rFonts w:ascii="Palatino Linotype" w:hAnsi="Palatino Linotype"/>
          <w:sz w:val="40"/>
          <w:szCs w:val="18"/>
        </w:rPr>
        <w:t>Churchyard Regulations</w:t>
      </w:r>
    </w:p>
    <w:p w:rsidR="00DC6E09" w:rsidRDefault="00DC6E09" w:rsidP="00DC6E09">
      <w:pPr>
        <w:jc w:val="center"/>
        <w:rPr>
          <w:rFonts w:ascii="Palatino Linotype" w:hAnsi="Palatino Linotype"/>
          <w:sz w:val="40"/>
          <w:szCs w:val="18"/>
        </w:rPr>
      </w:pPr>
    </w:p>
    <w:p w:rsidR="00DC6E09" w:rsidRDefault="00DC6E09" w:rsidP="00DC6E09">
      <w:pPr>
        <w:jc w:val="right"/>
        <w:rPr>
          <w:rFonts w:ascii="Palatino Linotype" w:hAnsi="Palatino Linotype"/>
          <w:sz w:val="28"/>
          <w:szCs w:val="18"/>
        </w:rPr>
      </w:pPr>
      <w:r>
        <w:rPr>
          <w:rFonts w:ascii="Palatino Linotype" w:hAnsi="Palatino Linotype"/>
          <w:sz w:val="28"/>
          <w:szCs w:val="18"/>
        </w:rPr>
        <w:t>June 2018</w:t>
      </w:r>
    </w:p>
    <w:p w:rsidR="00DC6E09" w:rsidRDefault="00DC6E09" w:rsidP="00DC6E09">
      <w:pPr>
        <w:jc w:val="right"/>
        <w:rPr>
          <w:rFonts w:ascii="Palatino Linotype" w:hAnsi="Palatino Linotype"/>
          <w:sz w:val="28"/>
          <w:szCs w:val="18"/>
        </w:rPr>
      </w:pPr>
    </w:p>
    <w:p w:rsidR="00DC6E09" w:rsidRDefault="00DC6E09" w:rsidP="00DC6E09">
      <w:pPr>
        <w:jc w:val="right"/>
        <w:rPr>
          <w:rFonts w:ascii="Palatino Linotype" w:hAnsi="Palatino Linotype"/>
          <w:sz w:val="28"/>
          <w:szCs w:val="18"/>
        </w:rPr>
      </w:pPr>
    </w:p>
    <w:p w:rsidR="00DC6E09" w:rsidRPr="00C500F6" w:rsidRDefault="00DC6E09" w:rsidP="00DC6E09">
      <w:pPr>
        <w:jc w:val="center"/>
        <w:rPr>
          <w:rFonts w:ascii="Palatino Linotype" w:hAnsi="Palatino Linotype"/>
          <w:b/>
          <w:sz w:val="20"/>
          <w:u w:val="single"/>
        </w:rPr>
      </w:pPr>
    </w:p>
    <w:p w:rsidR="00DC6E09" w:rsidRPr="00C500F6" w:rsidRDefault="00DC6E09" w:rsidP="00DC6E09">
      <w:pPr>
        <w:jc w:val="center"/>
        <w:rPr>
          <w:rFonts w:ascii="Palatino Linotype" w:hAnsi="Palatino Linotype"/>
          <w:b/>
          <w:sz w:val="28"/>
          <w:u w:val="single"/>
        </w:rPr>
      </w:pPr>
      <w:r w:rsidRPr="00C500F6">
        <w:rPr>
          <w:rFonts w:ascii="Palatino Linotype" w:hAnsi="Palatino Linotype"/>
          <w:b/>
          <w:sz w:val="28"/>
          <w:u w:val="single"/>
        </w:rPr>
        <w:t>Introduction to the Churchyard</w:t>
      </w:r>
    </w:p>
    <w:p w:rsidR="00DC6E09" w:rsidRPr="00C500F6" w:rsidRDefault="00DC6E09" w:rsidP="00DC6E09">
      <w:pPr>
        <w:jc w:val="center"/>
        <w:rPr>
          <w:rFonts w:ascii="Palatino Linotype" w:hAnsi="Palatino Linotype"/>
          <w:sz w:val="28"/>
        </w:rPr>
      </w:pPr>
    </w:p>
    <w:p w:rsidR="00DC6E09" w:rsidRPr="00C500F6" w:rsidRDefault="00DC6E09" w:rsidP="00DC6E09">
      <w:pPr>
        <w:jc w:val="center"/>
        <w:rPr>
          <w:rFonts w:ascii="Palatino Linotype" w:hAnsi="Palatino Linotype"/>
          <w:color w:val="000000"/>
          <w:szCs w:val="32"/>
        </w:rPr>
      </w:pPr>
      <w:r w:rsidRPr="00C500F6">
        <w:rPr>
          <w:rFonts w:ascii="Palatino Linotype" w:hAnsi="Palatino Linotype"/>
          <w:color w:val="000000"/>
          <w:szCs w:val="32"/>
        </w:rPr>
        <w:t>The churchyard here in Woolmer Green is part of our Christian faith and heritage.  Through consecration it is set apart for the reverent burial of</w:t>
      </w:r>
      <w:r>
        <w:rPr>
          <w:rFonts w:ascii="Palatino Linotype" w:hAnsi="Palatino Linotype"/>
          <w:color w:val="000000"/>
          <w:szCs w:val="32"/>
        </w:rPr>
        <w:t xml:space="preserve"> </w:t>
      </w:r>
      <w:r w:rsidRPr="00C500F6">
        <w:rPr>
          <w:rFonts w:ascii="Palatino Linotype" w:hAnsi="Palatino Linotype"/>
          <w:color w:val="000000"/>
          <w:szCs w:val="32"/>
        </w:rPr>
        <w:t>parishioners, that is, those who have their names on the Electoral</w:t>
      </w:r>
      <w:r>
        <w:rPr>
          <w:rFonts w:ascii="Palatino Linotype" w:hAnsi="Palatino Linotype"/>
          <w:color w:val="000000"/>
          <w:szCs w:val="32"/>
        </w:rPr>
        <w:t xml:space="preserve"> </w:t>
      </w:r>
      <w:r w:rsidRPr="00C500F6">
        <w:rPr>
          <w:rFonts w:ascii="Palatino Linotype" w:hAnsi="Palatino Linotype"/>
          <w:color w:val="000000"/>
          <w:szCs w:val="32"/>
        </w:rPr>
        <w:t xml:space="preserve">Roll or other persons who die in the parish. The Incumbent (the Team Rector) may also grant permission for the burial of other persons at his or her sole discretion. </w:t>
      </w:r>
    </w:p>
    <w:p w:rsidR="00DC6E09" w:rsidRPr="00C500F6" w:rsidRDefault="00DC6E09" w:rsidP="00DC6E09">
      <w:pPr>
        <w:jc w:val="center"/>
        <w:rPr>
          <w:rFonts w:ascii="Palatino Linotype" w:hAnsi="Palatino Linotype"/>
          <w:color w:val="000000"/>
          <w:szCs w:val="32"/>
        </w:rPr>
      </w:pPr>
    </w:p>
    <w:p w:rsidR="00DC6E09" w:rsidRPr="00C500F6" w:rsidRDefault="00DC6E09" w:rsidP="00DC6E09">
      <w:pPr>
        <w:jc w:val="center"/>
        <w:rPr>
          <w:rFonts w:ascii="Palatino Linotype" w:hAnsi="Palatino Linotype"/>
          <w:color w:val="000000"/>
          <w:szCs w:val="32"/>
        </w:rPr>
      </w:pPr>
      <w:r w:rsidRPr="00C500F6">
        <w:rPr>
          <w:rFonts w:ascii="Palatino Linotype" w:hAnsi="Palatino Linotype"/>
          <w:color w:val="000000"/>
          <w:szCs w:val="32"/>
        </w:rPr>
        <w:t>Churchyards should be regarded as belonging to God, representing to us God’s love and compassion for the whole community. They need to be looked after to reflect the glory of God, for the benefit of all of God’s people today as well as those to come.</w:t>
      </w:r>
    </w:p>
    <w:p w:rsidR="00DC6E09" w:rsidRPr="00C500F6" w:rsidRDefault="00DC6E09" w:rsidP="00DC6E09">
      <w:pPr>
        <w:rPr>
          <w:rFonts w:ascii="Palatino Linotype" w:hAnsi="Palatino Linotype"/>
        </w:rPr>
      </w:pPr>
    </w:p>
    <w:p w:rsidR="00DC6E09" w:rsidRPr="00C500F6" w:rsidRDefault="00DC6E09" w:rsidP="00DC6E09">
      <w:pPr>
        <w:jc w:val="center"/>
        <w:rPr>
          <w:rFonts w:ascii="Palatino Linotype" w:hAnsi="Palatino Linotype"/>
        </w:rPr>
      </w:pPr>
      <w:r w:rsidRPr="00C500F6">
        <w:rPr>
          <w:rFonts w:ascii="Palatino Linotype" w:hAnsi="Palatino Linotype"/>
        </w:rPr>
        <w:t>We are fortunate in Woolmer Green to have an open churchyard.  This is something many parishes do not have the privilege of having since many churchyards are closed (i.e. full).  In these instances, families have to rely on council-maintained cemeteries which can be some distance from the area where the parishioner lived.</w:t>
      </w:r>
    </w:p>
    <w:p w:rsidR="00DC6E09" w:rsidRPr="00C500F6" w:rsidRDefault="00DC6E09" w:rsidP="00DC6E09">
      <w:pPr>
        <w:jc w:val="center"/>
        <w:rPr>
          <w:rFonts w:ascii="Palatino Linotype" w:hAnsi="Palatino Linotype"/>
        </w:rPr>
      </w:pPr>
    </w:p>
    <w:p w:rsidR="00DC6E09" w:rsidRPr="00C500F6" w:rsidRDefault="00DC6E09" w:rsidP="00DC6E09">
      <w:pPr>
        <w:jc w:val="center"/>
        <w:rPr>
          <w:rFonts w:ascii="Palatino Linotype" w:hAnsi="Palatino Linotype"/>
        </w:rPr>
      </w:pPr>
      <w:r w:rsidRPr="00C500F6">
        <w:rPr>
          <w:rFonts w:ascii="Palatino Linotype" w:hAnsi="Palatino Linotype"/>
        </w:rPr>
        <w:t xml:space="preserve">There are two parts to the churchyard here at St Michael’s; there is the ‘old’ churchyard, and the newer extension north-east of the church.  </w:t>
      </w:r>
    </w:p>
    <w:p w:rsidR="00DC6E09" w:rsidRPr="00C500F6" w:rsidRDefault="00DC6E09" w:rsidP="00DC6E09">
      <w:pPr>
        <w:jc w:val="center"/>
        <w:rPr>
          <w:rFonts w:ascii="Palatino Linotype" w:hAnsi="Palatino Linotype"/>
        </w:rPr>
      </w:pPr>
      <w:r w:rsidRPr="00C500F6">
        <w:rPr>
          <w:rFonts w:ascii="Palatino Linotype" w:hAnsi="Palatino Linotype"/>
        </w:rPr>
        <w:t xml:space="preserve">Both areas allow for the burial of bodies and ashes.  </w:t>
      </w:r>
    </w:p>
    <w:p w:rsidR="00DC6E09" w:rsidRPr="00C500F6" w:rsidRDefault="00DC6E09" w:rsidP="00DC6E09">
      <w:pPr>
        <w:jc w:val="center"/>
        <w:rPr>
          <w:rFonts w:ascii="Palatino Linotype" w:hAnsi="Palatino Linotype"/>
        </w:rPr>
      </w:pPr>
    </w:p>
    <w:p w:rsidR="00DC6E09" w:rsidRDefault="00DC6E09" w:rsidP="00DC6E09">
      <w:pPr>
        <w:jc w:val="center"/>
        <w:rPr>
          <w:rFonts w:ascii="Palatino Linotype" w:hAnsi="Palatino Linotype"/>
        </w:rPr>
      </w:pPr>
      <w:r w:rsidRPr="00C500F6">
        <w:rPr>
          <w:rFonts w:ascii="Palatino Linotype" w:hAnsi="Palatino Linotype"/>
        </w:rPr>
        <w:t>To keep the churchyard’s peaceful ambience, and to reflect that peace which we find in God, there are certain regulations set by the diocese, and some of these are brought to your attention on the page overleaf.</w:t>
      </w:r>
    </w:p>
    <w:p w:rsidR="00DC6E09" w:rsidRDefault="00DC6E09" w:rsidP="00DC6E09">
      <w:pPr>
        <w:jc w:val="center"/>
        <w:rPr>
          <w:rFonts w:ascii="Palatino Linotype" w:hAnsi="Palatino Linotype"/>
        </w:rPr>
      </w:pPr>
    </w:p>
    <w:p w:rsidR="00DC6E09" w:rsidRPr="00C500F6" w:rsidRDefault="00DC6E09" w:rsidP="00DC6E09">
      <w:pPr>
        <w:jc w:val="center"/>
        <w:rPr>
          <w:rFonts w:ascii="Palatino Linotype" w:hAnsi="Palatino Linotype"/>
          <w:b/>
          <w:sz w:val="22"/>
          <w:szCs w:val="18"/>
          <w:u w:val="single"/>
        </w:rPr>
      </w:pPr>
      <w:r w:rsidRPr="00C500F6">
        <w:rPr>
          <w:rFonts w:ascii="Palatino Linotype" w:hAnsi="Palatino Linotype"/>
          <w:b/>
          <w:sz w:val="22"/>
          <w:szCs w:val="18"/>
          <w:u w:val="single"/>
        </w:rPr>
        <w:t>Churchyard Conditions</w:t>
      </w:r>
    </w:p>
    <w:p w:rsidR="00DC6E09" w:rsidRPr="00C500F6" w:rsidRDefault="00DC6E09" w:rsidP="00DC6E09">
      <w:pPr>
        <w:jc w:val="center"/>
        <w:rPr>
          <w:rFonts w:ascii="Palatino Linotype" w:hAnsi="Palatino Linotype"/>
          <w:b/>
          <w:sz w:val="12"/>
          <w:szCs w:val="18"/>
          <w:u w:val="single"/>
        </w:rPr>
      </w:pPr>
    </w:p>
    <w:p w:rsidR="00DC6E09" w:rsidRPr="00C500F6" w:rsidRDefault="00DC6E09" w:rsidP="00DC6E09">
      <w:pPr>
        <w:pStyle w:val="ListParagraph"/>
        <w:numPr>
          <w:ilvl w:val="0"/>
          <w:numId w:val="1"/>
        </w:numPr>
        <w:rPr>
          <w:rFonts w:ascii="Palatino Linotype" w:hAnsi="Palatino Linotype"/>
          <w:sz w:val="20"/>
        </w:rPr>
      </w:pPr>
      <w:r w:rsidRPr="00C500F6">
        <w:rPr>
          <w:rFonts w:ascii="Palatino Linotype" w:hAnsi="Palatino Linotype"/>
          <w:sz w:val="20"/>
        </w:rPr>
        <w:t xml:space="preserve">Burials are usually arranged through a funeral director, in liaison with the clergy.  Sometimes, however, a burial of ashes is arranged directly with one of the clergy. </w:t>
      </w:r>
    </w:p>
    <w:p w:rsidR="00DC6E09" w:rsidRPr="00C500F6" w:rsidRDefault="00DC6E09" w:rsidP="00DC6E09">
      <w:pPr>
        <w:pStyle w:val="ListParagraph"/>
        <w:rPr>
          <w:rFonts w:ascii="Palatino Linotype" w:hAnsi="Palatino Linotype"/>
          <w:sz w:val="14"/>
        </w:rPr>
      </w:pPr>
    </w:p>
    <w:p w:rsidR="00DC6E09" w:rsidRPr="00C500F6" w:rsidRDefault="00DC6E09" w:rsidP="00DC6E09">
      <w:pPr>
        <w:pStyle w:val="ListParagraph"/>
        <w:numPr>
          <w:ilvl w:val="0"/>
          <w:numId w:val="1"/>
        </w:numPr>
        <w:rPr>
          <w:rFonts w:ascii="Palatino Linotype" w:hAnsi="Palatino Linotype"/>
          <w:sz w:val="20"/>
        </w:rPr>
      </w:pPr>
      <w:r w:rsidRPr="00C500F6">
        <w:rPr>
          <w:rFonts w:ascii="Palatino Linotype" w:hAnsi="Palatino Linotype"/>
          <w:sz w:val="20"/>
        </w:rPr>
        <w:t>The clergy have the right to decide where in the churchyard a particular burial or interment shall take place, except where a specific place has been reserved.</w:t>
      </w:r>
    </w:p>
    <w:p w:rsidR="00DC6E09" w:rsidRPr="00C500F6" w:rsidRDefault="00DC6E09" w:rsidP="00DC6E09">
      <w:pPr>
        <w:pStyle w:val="ListParagraph"/>
        <w:rPr>
          <w:rFonts w:ascii="Palatino Linotype" w:hAnsi="Palatino Linotype"/>
          <w:sz w:val="10"/>
        </w:rPr>
      </w:pPr>
    </w:p>
    <w:p w:rsidR="00DC6E09" w:rsidRPr="00C500F6" w:rsidRDefault="00DC6E09" w:rsidP="00DC6E09">
      <w:pPr>
        <w:pStyle w:val="ListParagraph"/>
        <w:numPr>
          <w:ilvl w:val="0"/>
          <w:numId w:val="1"/>
        </w:numPr>
        <w:rPr>
          <w:rFonts w:ascii="Palatino Linotype" w:hAnsi="Palatino Linotype"/>
          <w:sz w:val="20"/>
        </w:rPr>
      </w:pPr>
      <w:r w:rsidRPr="00C500F6">
        <w:rPr>
          <w:rFonts w:ascii="Palatino Linotype" w:hAnsi="Palatino Linotype"/>
          <w:sz w:val="20"/>
        </w:rPr>
        <w:t>Graves are usually marked by a simple wooden cross immediately after a burial. About a year after burial the grave should be levelled and once this is done an application may be made for the introduction of a memorial.</w:t>
      </w:r>
    </w:p>
    <w:p w:rsidR="00DC6E09" w:rsidRPr="00C500F6" w:rsidRDefault="00DC6E09" w:rsidP="00DC6E09">
      <w:pPr>
        <w:pStyle w:val="ListParagraph"/>
        <w:rPr>
          <w:rFonts w:ascii="Palatino Linotype" w:hAnsi="Palatino Linotype"/>
          <w:sz w:val="10"/>
        </w:rPr>
      </w:pPr>
    </w:p>
    <w:p w:rsidR="00DC6E09" w:rsidRPr="00C500F6" w:rsidRDefault="00DC6E09" w:rsidP="00DC6E09">
      <w:pPr>
        <w:pStyle w:val="ListParagraph"/>
        <w:numPr>
          <w:ilvl w:val="0"/>
          <w:numId w:val="1"/>
        </w:numPr>
        <w:rPr>
          <w:rFonts w:ascii="Palatino Linotype" w:hAnsi="Palatino Linotype"/>
          <w:sz w:val="20"/>
        </w:rPr>
      </w:pPr>
      <w:r w:rsidRPr="00C500F6">
        <w:rPr>
          <w:rFonts w:ascii="Palatino Linotype" w:hAnsi="Palatino Linotype"/>
          <w:sz w:val="20"/>
        </w:rPr>
        <w:t>The design of the memorial and its wording must comply with the diocesan regulations in force at that time. Most funeral directors and stone masons will be aware of these.</w:t>
      </w:r>
    </w:p>
    <w:p w:rsidR="00DC6E09" w:rsidRPr="00C500F6" w:rsidRDefault="00DC6E09" w:rsidP="00DC6E09">
      <w:pPr>
        <w:pStyle w:val="ListParagraph"/>
        <w:rPr>
          <w:rFonts w:ascii="Palatino Linotype" w:hAnsi="Palatino Linotype"/>
          <w:sz w:val="8"/>
        </w:rPr>
      </w:pPr>
    </w:p>
    <w:p w:rsidR="00DC6E09" w:rsidRDefault="00DC6E09" w:rsidP="00DC6E09">
      <w:pPr>
        <w:pStyle w:val="ListParagraph"/>
        <w:numPr>
          <w:ilvl w:val="0"/>
          <w:numId w:val="1"/>
        </w:numPr>
        <w:rPr>
          <w:rFonts w:ascii="Palatino Linotype" w:hAnsi="Palatino Linotype"/>
          <w:sz w:val="20"/>
        </w:rPr>
      </w:pPr>
      <w:r w:rsidRPr="00C500F6">
        <w:rPr>
          <w:rFonts w:ascii="Palatino Linotype" w:hAnsi="Palatino Linotype"/>
          <w:sz w:val="20"/>
        </w:rPr>
        <w:t>Once a memorial stone is installed, the area should be grassed.</w:t>
      </w:r>
    </w:p>
    <w:p w:rsidR="00DC6E09" w:rsidRPr="00C500F6" w:rsidRDefault="00DC6E09" w:rsidP="00DC6E09">
      <w:pPr>
        <w:pStyle w:val="ListParagraph"/>
        <w:rPr>
          <w:rFonts w:ascii="Palatino Linotype" w:hAnsi="Palatino Linotype"/>
          <w:sz w:val="18"/>
        </w:rPr>
      </w:pPr>
    </w:p>
    <w:p w:rsidR="00DC6E09" w:rsidRDefault="00DC6E09" w:rsidP="00DC6E09">
      <w:pPr>
        <w:rPr>
          <w:rFonts w:ascii="Palatino Linotype" w:hAnsi="Palatino Linotype"/>
          <w:b/>
          <w:sz w:val="20"/>
        </w:rPr>
      </w:pPr>
      <w:r>
        <w:rPr>
          <w:rFonts w:ascii="Palatino Linotype" w:hAnsi="Palatino Linotype"/>
          <w:b/>
          <w:sz w:val="20"/>
        </w:rPr>
        <w:t>The following are not allowed in the churchyard:</w:t>
      </w:r>
    </w:p>
    <w:p w:rsidR="00DC6E09" w:rsidRDefault="00DC6E09" w:rsidP="00DC6E09">
      <w:pPr>
        <w:rPr>
          <w:rFonts w:ascii="Palatino Linotype" w:hAnsi="Palatino Linotype"/>
          <w:b/>
          <w:sz w:val="20"/>
        </w:rPr>
      </w:pPr>
    </w:p>
    <w:p w:rsidR="00DC6E09" w:rsidRDefault="00DC6E09" w:rsidP="00DC6E09">
      <w:pPr>
        <w:pStyle w:val="ListParagraph"/>
        <w:numPr>
          <w:ilvl w:val="0"/>
          <w:numId w:val="2"/>
        </w:numPr>
        <w:rPr>
          <w:rFonts w:ascii="Palatino Linotype" w:hAnsi="Palatino Linotype"/>
          <w:sz w:val="20"/>
        </w:rPr>
        <w:sectPr w:rsidR="00DC6E09" w:rsidSect="00DC6E09">
          <w:footerReference w:type="default" r:id="rId6"/>
          <w:footerReference w:type="first" r:id="rId7"/>
          <w:pgSz w:w="8391" w:h="11906" w:orient="landscape"/>
          <w:pgMar w:top="431" w:right="578" w:bottom="431" w:left="578" w:header="709" w:footer="283" w:gutter="0"/>
          <w:cols w:space="576"/>
          <w:titlePg/>
          <w:docGrid w:linePitch="326"/>
        </w:sectPr>
      </w:pP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lastRenderedPageBreak/>
        <w:t>Artificial flowers</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Glass or plastic flower vases</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Planted flowers/trees/shrubs</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 xml:space="preserve">Windchimes or any other </w:t>
      </w:r>
    </w:p>
    <w:p w:rsidR="00DC6E09" w:rsidRDefault="00DC6E09" w:rsidP="00DC6E09">
      <w:pPr>
        <w:pStyle w:val="ListParagraph"/>
        <w:rPr>
          <w:rFonts w:ascii="Palatino Linotype" w:hAnsi="Palatino Linotype"/>
          <w:sz w:val="20"/>
        </w:rPr>
      </w:pPr>
      <w:r>
        <w:rPr>
          <w:rFonts w:ascii="Palatino Linotype" w:hAnsi="Palatino Linotype"/>
          <w:sz w:val="20"/>
        </w:rPr>
        <w:t xml:space="preserve">ornaments </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Lights</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Photographs</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Planters</w:t>
      </w:r>
    </w:p>
    <w:p w:rsidR="00DC6E09" w:rsidRDefault="00DC6E09" w:rsidP="00DC6E09">
      <w:pPr>
        <w:pStyle w:val="ListParagraph"/>
        <w:numPr>
          <w:ilvl w:val="0"/>
          <w:numId w:val="2"/>
        </w:numPr>
        <w:rPr>
          <w:rFonts w:ascii="Palatino Linotype" w:hAnsi="Palatino Linotype"/>
          <w:sz w:val="20"/>
        </w:rPr>
      </w:pPr>
      <w:r>
        <w:rPr>
          <w:rFonts w:ascii="Palatino Linotype" w:hAnsi="Palatino Linotype"/>
          <w:sz w:val="20"/>
        </w:rPr>
        <w:t>Stones, chippings or surrounds</w:t>
      </w:r>
    </w:p>
    <w:p w:rsidR="00DC6E09" w:rsidRPr="00C500F6" w:rsidRDefault="00DC6E09" w:rsidP="00DC6E09">
      <w:pPr>
        <w:pStyle w:val="ListParagraph"/>
        <w:numPr>
          <w:ilvl w:val="0"/>
          <w:numId w:val="2"/>
        </w:numPr>
        <w:rPr>
          <w:rFonts w:ascii="Palatino Linotype" w:hAnsi="Palatino Linotype"/>
          <w:sz w:val="20"/>
        </w:rPr>
      </w:pPr>
      <w:r>
        <w:rPr>
          <w:rFonts w:ascii="Palatino Linotype" w:hAnsi="Palatino Linotype"/>
          <w:sz w:val="20"/>
        </w:rPr>
        <w:t>Plastic wrappings from flowers</w:t>
      </w:r>
    </w:p>
    <w:p w:rsidR="00DC6E09" w:rsidRDefault="00DC6E09" w:rsidP="00DC6E09">
      <w:pPr>
        <w:rPr>
          <w:rFonts w:ascii="Palatino Linotype" w:hAnsi="Palatino Linotype"/>
          <w:b/>
          <w:szCs w:val="18"/>
          <w:u w:val="single"/>
        </w:rPr>
        <w:sectPr w:rsidR="00DC6E09" w:rsidSect="00DC6E09">
          <w:pgSz w:w="8417" w:h="11909" w:orient="landscape" w:code="9"/>
          <w:pgMar w:top="431" w:right="578" w:bottom="431" w:left="578" w:header="709" w:footer="283" w:gutter="0"/>
          <w:cols w:num="2" w:space="576"/>
          <w:titlePg/>
          <w:docGrid w:linePitch="326"/>
        </w:sectPr>
      </w:pPr>
    </w:p>
    <w:p w:rsidR="00DC6E09" w:rsidRDefault="00DC6E09" w:rsidP="00DC6E09">
      <w:pPr>
        <w:jc w:val="center"/>
        <w:rPr>
          <w:rFonts w:ascii="Palatino Linotype" w:hAnsi="Palatino Linotype"/>
          <w:sz w:val="20"/>
        </w:rPr>
      </w:pPr>
      <w:r>
        <w:rPr>
          <w:rFonts w:ascii="Palatino Linotype" w:hAnsi="Palatino Linotype"/>
          <w:sz w:val="20"/>
          <w:szCs w:val="18"/>
          <w:u w:val="single"/>
        </w:rPr>
        <w:br/>
      </w:r>
      <w:r w:rsidRPr="00C500F6">
        <w:rPr>
          <w:rFonts w:ascii="Palatino Linotype" w:hAnsi="Palatino Linotype"/>
          <w:sz w:val="20"/>
          <w:szCs w:val="18"/>
          <w:u w:val="single"/>
        </w:rPr>
        <w:t>This is not an exhaustive list.</w:t>
      </w:r>
      <w:r>
        <w:rPr>
          <w:rFonts w:ascii="Palatino Linotype" w:hAnsi="Palatino Linotype"/>
          <w:sz w:val="20"/>
          <w:szCs w:val="18"/>
          <w:u w:val="single"/>
        </w:rPr>
        <w:br/>
      </w:r>
      <w:r>
        <w:rPr>
          <w:rFonts w:ascii="Palatino Linotype" w:hAnsi="Palatino Linotype"/>
          <w:sz w:val="20"/>
          <w:szCs w:val="18"/>
          <w:u w:val="single"/>
        </w:rPr>
        <w:br/>
      </w:r>
      <w:r w:rsidRPr="00C500F6">
        <w:rPr>
          <w:rFonts w:ascii="Palatino Linotype" w:hAnsi="Palatino Linotype"/>
          <w:sz w:val="20"/>
        </w:rPr>
        <w:t>Fresh flowers are encouraged as a symbol of the gift of creation and the brevity of life, and these are best placed in a vase incorporated in the base of the headstone.  Alternatively, a small pot may be placed on the base of the headstone. Bulbs are similarly encouraged as a symbol of resurrection.</w:t>
      </w:r>
    </w:p>
    <w:p w:rsidR="00DC6E09" w:rsidRPr="00C500F6" w:rsidRDefault="00DC6E09" w:rsidP="00DC6E09">
      <w:pPr>
        <w:jc w:val="center"/>
        <w:rPr>
          <w:rFonts w:ascii="Palatino Linotype" w:hAnsi="Palatino Linotype"/>
          <w:sz w:val="20"/>
        </w:rPr>
      </w:pPr>
    </w:p>
    <w:p w:rsidR="00DC6E09" w:rsidRDefault="00DC6E09" w:rsidP="00DC6E09">
      <w:pPr>
        <w:jc w:val="center"/>
        <w:rPr>
          <w:rFonts w:ascii="Palatino Linotype" w:hAnsi="Palatino Linotype"/>
          <w:sz w:val="28"/>
        </w:rPr>
      </w:pPr>
      <w:r w:rsidRPr="00C500F6">
        <w:rPr>
          <w:rFonts w:ascii="Palatino Linotype" w:hAnsi="Palatino Linotype"/>
          <w:sz w:val="20"/>
        </w:rPr>
        <w:t>The PCC (Parochial Church Council) has the right to remove dead and artificial flowers in order to keep the churchyard tidy.</w:t>
      </w:r>
    </w:p>
    <w:p w:rsidR="00DC6E09" w:rsidRPr="004E6FCA" w:rsidRDefault="00DC6E09" w:rsidP="00DC6E09">
      <w:pPr>
        <w:jc w:val="center"/>
        <w:rPr>
          <w:rFonts w:ascii="Palatino Linotype" w:hAnsi="Palatino Linotype"/>
          <w:sz w:val="20"/>
        </w:rPr>
      </w:pPr>
      <w:r w:rsidRPr="004E6FCA">
        <w:rPr>
          <w:rFonts w:ascii="Palatino Linotype" w:hAnsi="Palatino Linotype"/>
          <w:sz w:val="20"/>
        </w:rPr>
        <w:t>The costs associated with burials and memorial applications are set nationally by the Church of England and are subject to change each year. The current figure can be obtained from one of the clergy, or on the Church of England website.</w:t>
      </w: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r w:rsidRPr="004E6FCA">
        <w:rPr>
          <w:rFonts w:ascii="Palatino Linotype" w:hAnsi="Palatino Linotype"/>
          <w:sz w:val="20"/>
        </w:rPr>
        <w:t>The purpose of this leaflet is not meant to be legalistic, but to make you aware of the rules which surround Church of England churchyards so that you can plan a permanent memorial which is both a fitting tribute and conforms to the Churchyard Regulations.</w:t>
      </w: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r w:rsidRPr="004E6FCA">
        <w:rPr>
          <w:rFonts w:ascii="Palatino Linotype" w:hAnsi="Palatino Linotype"/>
          <w:sz w:val="20"/>
        </w:rPr>
        <w:t>The clergy of St Michael’s can be contacted using the details below.</w:t>
      </w: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rPr>
          <w:rFonts w:ascii="Palatino Linotype" w:hAnsi="Palatino Linotype"/>
          <w:b/>
          <w:sz w:val="20"/>
        </w:rPr>
      </w:pPr>
      <w:r w:rsidRPr="004E6FCA">
        <w:rPr>
          <w:rFonts w:ascii="Palatino Linotype" w:hAnsi="Palatino Linotype"/>
          <w:b/>
          <w:sz w:val="20"/>
        </w:rPr>
        <w:t>The Rector</w:t>
      </w:r>
      <w:r w:rsidRPr="004E6FCA">
        <w:rPr>
          <w:rFonts w:ascii="Palatino Linotype" w:hAnsi="Palatino Linotype"/>
          <w:b/>
          <w:sz w:val="20"/>
        </w:rPr>
        <w:tab/>
      </w:r>
      <w:r w:rsidRPr="004E6FCA">
        <w:rPr>
          <w:rFonts w:ascii="Palatino Linotype" w:hAnsi="Palatino Linotype"/>
          <w:b/>
          <w:sz w:val="20"/>
        </w:rPr>
        <w:tab/>
      </w:r>
      <w:r w:rsidRPr="004E6FCA">
        <w:rPr>
          <w:rFonts w:ascii="Palatino Linotype" w:hAnsi="Palatino Linotype"/>
          <w:b/>
          <w:sz w:val="20"/>
        </w:rPr>
        <w:tab/>
      </w:r>
      <w:r w:rsidRPr="004E6FCA">
        <w:rPr>
          <w:rFonts w:ascii="Palatino Linotype" w:hAnsi="Palatino Linotype"/>
          <w:b/>
          <w:sz w:val="20"/>
        </w:rPr>
        <w:tab/>
        <w:t>The Curate</w:t>
      </w:r>
    </w:p>
    <w:p w:rsidR="00DC6E09" w:rsidRPr="004E6FCA" w:rsidRDefault="00DC6E09" w:rsidP="00DC6E09">
      <w:pPr>
        <w:jc w:val="center"/>
        <w:rPr>
          <w:rFonts w:ascii="Palatino Linotype" w:hAnsi="Palatino Linotype"/>
          <w:sz w:val="20"/>
        </w:rPr>
      </w:pPr>
      <w:r w:rsidRPr="004E6FCA">
        <w:rPr>
          <w:rFonts w:ascii="Palatino Linotype" w:hAnsi="Palatino Linotype"/>
          <w:sz w:val="20"/>
        </w:rPr>
        <w:t xml:space="preserve">The Reverend Dr David </w:t>
      </w:r>
      <w:proofErr w:type="spellStart"/>
      <w:r w:rsidRPr="004E6FCA">
        <w:rPr>
          <w:rFonts w:ascii="Palatino Linotype" w:hAnsi="Palatino Linotype"/>
          <w:sz w:val="20"/>
        </w:rPr>
        <w:t>Munchin</w:t>
      </w:r>
      <w:proofErr w:type="spellEnd"/>
      <w:r w:rsidRPr="004E6FCA">
        <w:rPr>
          <w:rFonts w:ascii="Palatino Linotype" w:hAnsi="Palatino Linotype"/>
          <w:sz w:val="20"/>
        </w:rPr>
        <w:tab/>
        <w:t>The Reverend Dominic Holroyd-Thomas</w:t>
      </w:r>
    </w:p>
    <w:p w:rsidR="00DC6E09" w:rsidRPr="004E6FCA" w:rsidRDefault="00DC6E09" w:rsidP="00DC6E09">
      <w:pPr>
        <w:rPr>
          <w:rFonts w:ascii="Palatino Linotype" w:hAnsi="Palatino Linotype"/>
          <w:sz w:val="20"/>
        </w:rPr>
      </w:pPr>
      <w:r w:rsidRPr="004E6FCA">
        <w:rPr>
          <w:rFonts w:ascii="Palatino Linotype" w:hAnsi="Palatino Linotype"/>
          <w:sz w:val="20"/>
        </w:rPr>
        <w:t>rector@welwyn.org.uk</w:t>
      </w:r>
      <w:r w:rsidRPr="004E6FCA">
        <w:rPr>
          <w:rFonts w:ascii="Palatino Linotype" w:hAnsi="Palatino Linotype"/>
          <w:sz w:val="20"/>
        </w:rPr>
        <w:tab/>
      </w:r>
      <w:r w:rsidRPr="004E6FCA">
        <w:rPr>
          <w:rFonts w:ascii="Palatino Linotype" w:hAnsi="Palatino Linotype"/>
          <w:sz w:val="20"/>
        </w:rPr>
        <w:tab/>
      </w:r>
      <w:r w:rsidRPr="004E6FCA">
        <w:rPr>
          <w:rFonts w:ascii="Palatino Linotype" w:hAnsi="Palatino Linotype"/>
          <w:sz w:val="20"/>
        </w:rPr>
        <w:tab/>
        <w:t>curate@welwyn.org.uk</w:t>
      </w:r>
    </w:p>
    <w:p w:rsidR="00DC6E09" w:rsidRPr="004E6FCA" w:rsidRDefault="00DC6E09" w:rsidP="00DC6E09">
      <w:pPr>
        <w:rPr>
          <w:rFonts w:ascii="Palatino Linotype" w:hAnsi="Palatino Linotype"/>
          <w:sz w:val="20"/>
        </w:rPr>
      </w:pPr>
      <w:r w:rsidRPr="004E6FCA">
        <w:rPr>
          <w:rFonts w:ascii="Palatino Linotype" w:hAnsi="Palatino Linotype"/>
          <w:sz w:val="20"/>
        </w:rPr>
        <w:t>01438 714150</w:t>
      </w:r>
      <w:r w:rsidRPr="004E6FCA">
        <w:rPr>
          <w:rFonts w:ascii="Palatino Linotype" w:hAnsi="Palatino Linotype"/>
          <w:sz w:val="20"/>
        </w:rPr>
        <w:tab/>
      </w:r>
      <w:r w:rsidRPr="004E6FCA">
        <w:rPr>
          <w:rFonts w:ascii="Palatino Linotype" w:hAnsi="Palatino Linotype"/>
          <w:sz w:val="20"/>
        </w:rPr>
        <w:tab/>
      </w:r>
      <w:r w:rsidRPr="004E6FCA">
        <w:rPr>
          <w:rFonts w:ascii="Palatino Linotype" w:hAnsi="Palatino Linotype"/>
          <w:sz w:val="20"/>
        </w:rPr>
        <w:tab/>
      </w:r>
      <w:r w:rsidRPr="004E6FCA">
        <w:rPr>
          <w:rFonts w:ascii="Palatino Linotype" w:hAnsi="Palatino Linotype"/>
          <w:sz w:val="20"/>
        </w:rPr>
        <w:tab/>
        <w:t>01438 813043</w:t>
      </w: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sz w:val="20"/>
        </w:rPr>
      </w:pPr>
    </w:p>
    <w:p w:rsidR="00DC6E09" w:rsidRPr="004E6FCA" w:rsidRDefault="00DC6E09" w:rsidP="00DC6E09">
      <w:pPr>
        <w:jc w:val="center"/>
        <w:rPr>
          <w:rFonts w:ascii="Palatino Linotype" w:hAnsi="Palatino Linotype"/>
          <w:i/>
          <w:sz w:val="20"/>
          <w:szCs w:val="28"/>
        </w:rPr>
      </w:pPr>
    </w:p>
    <w:p w:rsidR="00DC6E09" w:rsidRPr="004E6FCA" w:rsidRDefault="00DC6E09" w:rsidP="00DC6E09">
      <w:pPr>
        <w:jc w:val="center"/>
        <w:rPr>
          <w:rFonts w:ascii="Palatino Linotype" w:hAnsi="Palatino Linotype"/>
          <w:i/>
          <w:sz w:val="20"/>
          <w:szCs w:val="28"/>
          <w:lang w:val="en" w:eastAsia="en-GB"/>
        </w:rPr>
      </w:pPr>
      <w:r w:rsidRPr="004E6FCA">
        <w:rPr>
          <w:rFonts w:ascii="Palatino Linotype" w:hAnsi="Palatino Linotype"/>
          <w:i/>
          <w:sz w:val="20"/>
          <w:szCs w:val="28"/>
          <w:lang w:val="en" w:eastAsia="en-GB"/>
        </w:rPr>
        <w:t xml:space="preserve">Lord, now </w:t>
      </w:r>
      <w:proofErr w:type="spellStart"/>
      <w:r w:rsidRPr="004E6FCA">
        <w:rPr>
          <w:rFonts w:ascii="Palatino Linotype" w:hAnsi="Palatino Linotype"/>
          <w:i/>
          <w:sz w:val="20"/>
          <w:szCs w:val="28"/>
          <w:lang w:val="en" w:eastAsia="en-GB"/>
        </w:rPr>
        <w:t>lettest</w:t>
      </w:r>
      <w:proofErr w:type="spellEnd"/>
      <w:r w:rsidRPr="004E6FCA">
        <w:rPr>
          <w:rFonts w:ascii="Palatino Linotype" w:hAnsi="Palatino Linotype"/>
          <w:i/>
          <w:sz w:val="20"/>
          <w:szCs w:val="28"/>
          <w:lang w:val="en" w:eastAsia="en-GB"/>
        </w:rPr>
        <w:t xml:space="preserve"> thou thy servant depart in peace according to thy word.</w:t>
      </w:r>
    </w:p>
    <w:p w:rsidR="00DC6E09" w:rsidRPr="004E6FCA" w:rsidRDefault="00DC6E09" w:rsidP="00DC6E09">
      <w:pPr>
        <w:jc w:val="center"/>
        <w:rPr>
          <w:rFonts w:ascii="Palatino Linotype" w:hAnsi="Palatino Linotype"/>
          <w:i/>
          <w:sz w:val="20"/>
          <w:szCs w:val="28"/>
          <w:lang w:val="en" w:eastAsia="en-GB"/>
        </w:rPr>
      </w:pPr>
      <w:r w:rsidRPr="004E6FCA">
        <w:rPr>
          <w:rFonts w:ascii="Palatino Linotype" w:hAnsi="Palatino Linotype"/>
          <w:i/>
          <w:sz w:val="20"/>
          <w:szCs w:val="28"/>
          <w:lang w:val="en" w:eastAsia="en-GB"/>
        </w:rPr>
        <w:t>For mine eyes have seen thy salvation,</w:t>
      </w:r>
    </w:p>
    <w:p w:rsidR="00DC6E09" w:rsidRPr="004E6FCA" w:rsidRDefault="00DC6E09" w:rsidP="00DC6E09">
      <w:pPr>
        <w:jc w:val="center"/>
        <w:rPr>
          <w:rFonts w:ascii="Palatino Linotype" w:hAnsi="Palatino Linotype"/>
          <w:i/>
          <w:sz w:val="20"/>
          <w:szCs w:val="28"/>
          <w:lang w:val="en" w:eastAsia="en-GB"/>
        </w:rPr>
      </w:pPr>
      <w:r w:rsidRPr="004E6FCA">
        <w:rPr>
          <w:rFonts w:ascii="Palatino Linotype" w:hAnsi="Palatino Linotype"/>
          <w:i/>
          <w:sz w:val="20"/>
          <w:szCs w:val="28"/>
          <w:lang w:val="en" w:eastAsia="en-GB"/>
        </w:rPr>
        <w:t>Which thou hast prepared before the face of all people;</w:t>
      </w:r>
    </w:p>
    <w:p w:rsidR="00DC6E09" w:rsidRPr="004E6FCA" w:rsidRDefault="00DC6E09" w:rsidP="00DC6E09">
      <w:pPr>
        <w:jc w:val="center"/>
        <w:rPr>
          <w:rFonts w:ascii="Palatino Linotype" w:hAnsi="Palatino Linotype"/>
          <w:i/>
          <w:sz w:val="20"/>
          <w:szCs w:val="28"/>
          <w:lang w:val="en" w:eastAsia="en-GB"/>
        </w:rPr>
      </w:pPr>
      <w:r w:rsidRPr="004E6FCA">
        <w:rPr>
          <w:rFonts w:ascii="Palatino Linotype" w:hAnsi="Palatino Linotype"/>
          <w:i/>
          <w:sz w:val="20"/>
          <w:szCs w:val="28"/>
          <w:lang w:val="en" w:eastAsia="en-GB"/>
        </w:rPr>
        <w:t>To be a light to lighten the Gentiles and to be the glory of thy people Israel.</w:t>
      </w:r>
    </w:p>
    <w:p w:rsidR="00DC6E09" w:rsidRPr="004E6FCA" w:rsidRDefault="00DC6E09" w:rsidP="00DC6E09">
      <w:pPr>
        <w:jc w:val="center"/>
        <w:rPr>
          <w:rFonts w:ascii="Palatino Linotype" w:hAnsi="Palatino Linotype"/>
          <w:i/>
          <w:sz w:val="20"/>
          <w:szCs w:val="28"/>
          <w:lang w:val="en" w:eastAsia="en-GB"/>
        </w:rPr>
      </w:pPr>
    </w:p>
    <w:p w:rsidR="00DC6E09" w:rsidRPr="004E6FCA" w:rsidRDefault="00DC6E09" w:rsidP="00DC6E09">
      <w:pPr>
        <w:jc w:val="center"/>
        <w:rPr>
          <w:rFonts w:ascii="Palatino Linotype" w:hAnsi="Palatino Linotype"/>
          <w:sz w:val="18"/>
          <w:szCs w:val="28"/>
          <w:lang w:val="en" w:eastAsia="en-GB"/>
        </w:rPr>
      </w:pPr>
      <w:r w:rsidRPr="004E6FCA">
        <w:rPr>
          <w:rFonts w:ascii="Palatino Linotype" w:hAnsi="Palatino Linotype"/>
          <w:sz w:val="18"/>
          <w:szCs w:val="28"/>
          <w:lang w:val="en" w:eastAsia="en-GB"/>
        </w:rPr>
        <w:t>The Nunc Dimittis</w:t>
      </w:r>
    </w:p>
    <w:p w:rsidR="00DC6E09" w:rsidRPr="004E6FCA" w:rsidRDefault="00DC6E09" w:rsidP="00DC6E09">
      <w:pPr>
        <w:jc w:val="center"/>
        <w:rPr>
          <w:rFonts w:ascii="Palatino Linotype" w:hAnsi="Palatino Linotype"/>
          <w:sz w:val="18"/>
          <w:szCs w:val="28"/>
          <w:lang w:val="en" w:eastAsia="en-GB"/>
        </w:rPr>
      </w:pPr>
      <w:r w:rsidRPr="004E6FCA">
        <w:rPr>
          <w:rFonts w:ascii="Palatino Linotype" w:hAnsi="Palatino Linotype"/>
          <w:sz w:val="18"/>
          <w:szCs w:val="28"/>
          <w:lang w:val="en" w:eastAsia="en-GB"/>
        </w:rPr>
        <w:t>Luke 2: 29 - 32</w:t>
      </w:r>
    </w:p>
    <w:p w:rsidR="00DC6E09" w:rsidRPr="004E6FCA" w:rsidRDefault="00DC6E09" w:rsidP="00DC6E09">
      <w:pPr>
        <w:tabs>
          <w:tab w:val="left" w:pos="2957"/>
        </w:tabs>
        <w:rPr>
          <w:rFonts w:ascii="Palatino Linotype" w:hAnsi="Palatino Linotype"/>
          <w:sz w:val="20"/>
          <w:szCs w:val="18"/>
        </w:rPr>
      </w:pPr>
    </w:p>
    <w:p w:rsidR="00976B4D" w:rsidRDefault="00DC6E09"/>
    <w:sectPr w:rsidR="00976B4D" w:rsidSect="00C500F6">
      <w:type w:val="continuous"/>
      <w:pgSz w:w="8417" w:h="11909" w:orient="landscape" w:code="9"/>
      <w:pgMar w:top="431" w:right="578" w:bottom="431" w:left="578" w:header="709" w:footer="283" w:gutter="0"/>
      <w:cols w:space="57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09" w:rsidRPr="00C500F6" w:rsidRDefault="00DC6E09">
    <w:pPr>
      <w:pStyle w:val="Footer"/>
      <w:jc w:val="center"/>
      <w:rPr>
        <w:rFonts w:ascii="Palatino Linotype" w:hAnsi="Palatino Linotype"/>
        <w:sz w:val="16"/>
        <w:szCs w:val="16"/>
      </w:rPr>
    </w:pPr>
    <w:r w:rsidRPr="00C500F6">
      <w:rPr>
        <w:rFonts w:ascii="Palatino Linotype" w:hAnsi="Palatino Linotype"/>
        <w:sz w:val="16"/>
        <w:szCs w:val="16"/>
      </w:rPr>
      <w:fldChar w:fldCharType="begin"/>
    </w:r>
    <w:r w:rsidRPr="00C500F6">
      <w:rPr>
        <w:rFonts w:ascii="Palatino Linotype" w:hAnsi="Palatino Linotype"/>
        <w:sz w:val="16"/>
        <w:szCs w:val="16"/>
      </w:rPr>
      <w:instrText xml:space="preserve"> PAGE   \* MERGEFORMAT </w:instrText>
    </w:r>
    <w:r w:rsidRPr="00C500F6">
      <w:rPr>
        <w:rFonts w:ascii="Palatino Linotype" w:hAnsi="Palatino Linotype"/>
        <w:sz w:val="16"/>
        <w:szCs w:val="16"/>
      </w:rPr>
      <w:fldChar w:fldCharType="separate"/>
    </w:r>
    <w:r w:rsidRPr="00C500F6">
      <w:rPr>
        <w:rFonts w:ascii="Palatino Linotype" w:hAnsi="Palatino Linotype"/>
        <w:noProof/>
        <w:sz w:val="16"/>
        <w:szCs w:val="16"/>
      </w:rPr>
      <w:t>8</w:t>
    </w:r>
    <w:r w:rsidRPr="00C500F6">
      <w:rPr>
        <w:rFonts w:ascii="Palatino Linotype" w:hAnsi="Palatino Linotype"/>
        <w:sz w:val="16"/>
        <w:szCs w:val="16"/>
      </w:rPr>
      <w:fldChar w:fldCharType="end"/>
    </w:r>
  </w:p>
  <w:p w:rsidR="00DC6E09" w:rsidRDefault="00DC6E09">
    <w:pPr>
      <w:pStyle w:val="Footer"/>
    </w:pPr>
  </w:p>
  <w:p w:rsidR="00DC6E09" w:rsidRDefault="00DC6E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09" w:rsidRPr="008F7F1E" w:rsidRDefault="00DC6E09">
    <w:pPr>
      <w:pStyle w:val="Footer"/>
      <w:jc w:val="center"/>
      <w:rPr>
        <w:rFonts w:ascii="Verdana" w:hAnsi="Verdana"/>
        <w:sz w:val="16"/>
        <w:szCs w:val="16"/>
      </w:rPr>
    </w:pPr>
  </w:p>
  <w:p w:rsidR="00DC6E09" w:rsidRDefault="00DC6E0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54FF"/>
    <w:multiLevelType w:val="hybridMultilevel"/>
    <w:tmpl w:val="F8DE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60A4B"/>
    <w:multiLevelType w:val="hybridMultilevel"/>
    <w:tmpl w:val="2514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09"/>
    <w:rsid w:val="00283AFB"/>
    <w:rsid w:val="007F3492"/>
    <w:rsid w:val="00AE4921"/>
    <w:rsid w:val="00BF736B"/>
    <w:rsid w:val="00DC6E09"/>
    <w:rsid w:val="00EC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C6CFF3"/>
  <w14:defaultImageDpi w14:val="32767"/>
  <w15:chartTrackingRefBased/>
  <w15:docId w15:val="{62C59155-8998-9042-94B4-845BDE4F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6E09"/>
    <w:pPr>
      <w:tabs>
        <w:tab w:val="center" w:pos="4680"/>
        <w:tab w:val="right" w:pos="9360"/>
      </w:tabs>
      <w:overflowPunct w:val="0"/>
      <w:autoSpaceDE w:val="0"/>
      <w:autoSpaceDN w:val="0"/>
      <w:adjustRightInd w:val="0"/>
      <w:jc w:val="both"/>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C6E09"/>
    <w:rPr>
      <w:rFonts w:ascii="Times New Roman" w:eastAsia="Times New Roman" w:hAnsi="Times New Roman" w:cs="Times New Roman"/>
      <w:szCs w:val="20"/>
    </w:rPr>
  </w:style>
  <w:style w:type="paragraph" w:styleId="ListParagraph">
    <w:name w:val="List Paragraph"/>
    <w:basedOn w:val="Normal"/>
    <w:uiPriority w:val="34"/>
    <w:qFormat/>
    <w:rsid w:val="00DC6E09"/>
    <w:pPr>
      <w:spacing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Holroyd-Thomas</dc:creator>
  <cp:keywords/>
  <dc:description/>
  <cp:lastModifiedBy>Daniel Holroyd-Thomas</cp:lastModifiedBy>
  <cp:revision>1</cp:revision>
  <dcterms:created xsi:type="dcterms:W3CDTF">2019-10-26T11:38:00Z</dcterms:created>
  <dcterms:modified xsi:type="dcterms:W3CDTF">2019-10-26T11:39:00Z</dcterms:modified>
</cp:coreProperties>
</file>